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2rqap6732qn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Context Clues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Instructions: Identify the type of context clue used to decipher the meaning of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underlined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word. Circle the context clue in the sentence.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1. James was irritated, meaning he was mad.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2. The process of turning light into energy, called photosynthesis, is the </w:t>
        <w:br w:type="textWrapping"/>
        <w:tab/>
        <w:tab/>
        <w:tab/>
        <w:t xml:space="preserve">reason most plants need sunlight.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3. She was an agile dancer, although her partner was quite clumsy.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4. All mammals, like humans, whales, and lions, feed their babies milk.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5. Mars is the fourth planet from the sun.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6. We learned about octagons, or 8-sided shapes.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7. Many pioneers rode in a covered wagon, known as a conestoga wagon, on </w:t>
        <w:br w:type="textWrapping"/>
        <w:tab/>
        <w:tab/>
        <w:tab/>
        <w:t xml:space="preserve">the westward journey.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8. Leafy green vegetables, such as lettuce and spinach, are good to eat.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9. The food was bland. In fact, everyone called tasteless.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10. The woman abhorred house cleaning, but she loved a spotless home.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11. Many nations of South America, including Brazil and Ecuador, are on the </w:t>
        <w:br w:type="textWrapping"/>
        <w:tab/>
        <w:tab/>
        <w:tab/>
        <w:t xml:space="preserve">Equator.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 12. While she was indifferent to golf, her husband was an avid fan.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